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05E0A955" w:rsidR="008D267A" w:rsidRPr="009E4F68" w:rsidRDefault="008C03C3" w:rsidP="009E4F68">
      <w:pPr>
        <w:pStyle w:val="02Nomdulot"/>
        <w:keepLines/>
        <w:shd w:val="clear" w:color="auto" w:fill="E09926" w:themeFill="accent2"/>
        <w:spacing w:before="0" w:after="500"/>
        <w:ind w:left="57" w:right="0"/>
        <w:rPr>
          <w:rFonts w:ascii="Arial Gras" w:hAnsi="Arial Gras"/>
          <w:caps/>
          <w:spacing w:val="-2"/>
          <w:sz w:val="39"/>
          <w:szCs w:val="39"/>
        </w:rPr>
      </w:pPr>
      <w:r w:rsidRPr="009E4F68">
        <w:rPr>
          <w:rFonts w:ascii="Arial Gras" w:hAnsi="Arial Gras"/>
          <w:caps/>
          <w:spacing w:val="-2"/>
          <w:sz w:val="39"/>
          <w:szCs w:val="39"/>
        </w:rPr>
        <w:t xml:space="preserve">Assurance </w:t>
      </w:r>
      <w:r w:rsidRPr="009E4F68">
        <w:rPr>
          <w:rFonts w:ascii="Arial Gras" w:hAnsi="Arial Gras"/>
          <w:caps/>
          <w:spacing w:val="-2"/>
          <w:sz w:val="39"/>
          <w:szCs w:val="39"/>
        </w:rPr>
        <w:br/>
      </w:r>
      <w:r w:rsidR="00FA3940" w:rsidRPr="009E4F68">
        <w:rPr>
          <w:rFonts w:ascii="Arial Gras" w:hAnsi="Arial Gras"/>
          <w:caps/>
          <w:spacing w:val="-2"/>
          <w:sz w:val="39"/>
          <w:szCs w:val="39"/>
        </w:rPr>
        <w:t>assistance rapatriement</w:t>
      </w:r>
    </w:p>
    <w:p w14:paraId="0DF2EB0B" w14:textId="65769F2F" w:rsidR="009B1216" w:rsidRPr="00786D05" w:rsidRDefault="009B1216" w:rsidP="00786D05">
      <w:pPr>
        <w:pStyle w:val="03Numlot"/>
        <w:keepLines/>
        <w:spacing w:before="240" w:after="400"/>
        <w:ind w:right="0"/>
        <w:rPr>
          <w:b/>
          <w:sz w:val="38"/>
          <w:szCs w:val="38"/>
        </w:rPr>
      </w:pPr>
      <w:r w:rsidRPr="00786D05">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836196">
        <w:tc>
          <w:tcPr>
            <w:tcW w:w="9284" w:type="dxa"/>
          </w:tcPr>
          <w:p w14:paraId="0795C926" w14:textId="77777777" w:rsidR="008D267A" w:rsidRPr="008D267A" w:rsidRDefault="008D267A" w:rsidP="00786D05">
            <w:pPr>
              <w:spacing w:before="140" w:after="140"/>
              <w:jc w:val="center"/>
              <w:rPr>
                <w:b/>
                <w:bCs/>
                <w:sz w:val="28"/>
                <w:szCs w:val="28"/>
              </w:rPr>
            </w:pPr>
            <w:r w:rsidRPr="008D267A">
              <w:rPr>
                <w:b/>
                <w:bCs/>
                <w:sz w:val="28"/>
                <w:szCs w:val="28"/>
              </w:rPr>
              <w:t>AVERTISSEMENT</w:t>
            </w:r>
          </w:p>
          <w:p w14:paraId="1852663D" w14:textId="77777777" w:rsidR="008D267A" w:rsidRPr="008D267A" w:rsidRDefault="008D267A" w:rsidP="00D74175">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D74175">
            <w:pPr>
              <w:rPr>
                <w:sz w:val="22"/>
                <w:szCs w:val="22"/>
              </w:rPr>
            </w:pPr>
            <w:r w:rsidRPr="008D267A">
              <w:rPr>
                <w:sz w:val="22"/>
                <w:szCs w:val="22"/>
              </w:rPr>
              <w:t>Le soussigné déclare :</w:t>
            </w:r>
          </w:p>
          <w:p w14:paraId="37DED14F" w14:textId="77777777" w:rsidR="008D267A" w:rsidRPr="008D267A" w:rsidRDefault="008D267A" w:rsidP="00D74175">
            <w:pPr>
              <w:pStyle w:val="Paragraphedeliste"/>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8D267A" w:rsidP="00D74175">
            <w:pPr>
              <w:pStyle w:val="Paragraphedeliste"/>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D74175">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786D05">
            <w:pPr>
              <w:spacing w:after="16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D74175">
            <w:pPr>
              <w:rPr>
                <w:sz w:val="22"/>
                <w:szCs w:val="22"/>
              </w:rPr>
            </w:pPr>
            <w:r w:rsidRPr="008D267A">
              <w:rPr>
                <w:sz w:val="22"/>
                <w:szCs w:val="22"/>
              </w:rPr>
              <w:t xml:space="preserve">Article L. 113-8 du Code des assurances </w:t>
            </w:r>
          </w:p>
          <w:p w14:paraId="0C79ED3B" w14:textId="77777777" w:rsidR="008D267A" w:rsidRPr="008D267A" w:rsidRDefault="008D267A" w:rsidP="00D74175">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786D05">
            <w:pPr>
              <w:spacing w:after="16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D74175">
            <w:pPr>
              <w:rPr>
                <w:sz w:val="22"/>
                <w:szCs w:val="22"/>
              </w:rPr>
            </w:pPr>
            <w:r w:rsidRPr="008D267A">
              <w:rPr>
                <w:sz w:val="22"/>
                <w:szCs w:val="22"/>
              </w:rPr>
              <w:t>Article L113-9 du Code des assurances</w:t>
            </w:r>
          </w:p>
          <w:p w14:paraId="2E458E50" w14:textId="77777777" w:rsidR="008D267A" w:rsidRPr="008D267A" w:rsidRDefault="008D267A" w:rsidP="00D74175">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D74175">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786D05">
            <w:pPr>
              <w:keepLines/>
              <w:spacing w:after="1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Default="00CA06F4" w:rsidP="002C06C3">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054E3" w14:paraId="72490CB3" w14:textId="77777777" w:rsidTr="00F17228">
        <w:tc>
          <w:tcPr>
            <w:tcW w:w="9284" w:type="dxa"/>
          </w:tcPr>
          <w:p w14:paraId="177157FC" w14:textId="65F55E70" w:rsidR="002C06C3" w:rsidRDefault="002C06C3" w:rsidP="001B1045">
            <w:pPr>
              <w:keepLines/>
              <w:widowControl/>
              <w:spacing w:before="80" w:after="80"/>
              <w:jc w:val="left"/>
            </w:pPr>
          </w:p>
        </w:tc>
      </w:tr>
    </w:tbl>
    <w:p w14:paraId="32509502" w14:textId="77777777" w:rsidR="002C06C3" w:rsidRDefault="002C06C3" w:rsidP="002C06C3">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2C06C3" w14:paraId="0C4C3D6E" w14:textId="77777777" w:rsidTr="00F1722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71440B" w14:textId="77777777" w:rsidR="002C06C3" w:rsidRPr="00F96A21" w:rsidRDefault="002C06C3" w:rsidP="001B1045">
            <w:pPr>
              <w:keepLines/>
              <w:widowControl/>
              <w:spacing w:before="80" w:after="80"/>
              <w:jc w:val="left"/>
              <w:rPr>
                <w:lang w:bidi="en-US"/>
              </w:rPr>
            </w:pPr>
          </w:p>
        </w:tc>
      </w:tr>
    </w:tbl>
    <w:p w14:paraId="367C2FD5" w14:textId="0C50F2A2" w:rsidR="00B06AA3" w:rsidRPr="00214FAB" w:rsidRDefault="00B06AA3" w:rsidP="00B57477">
      <w:pPr>
        <w:rPr>
          <w:sz w:val="2"/>
          <w:szCs w:val="2"/>
        </w:rPr>
      </w:pPr>
    </w:p>
    <w:p w14:paraId="489B6AE7" w14:textId="0D42A208" w:rsidR="00261239" w:rsidRPr="00AF0775" w:rsidRDefault="00261239" w:rsidP="00D80537">
      <w:pPr>
        <w:keepNext/>
        <w:keepLines/>
        <w:widowControl/>
        <w:spacing w:before="240" w:after="120"/>
      </w:pPr>
      <w:r w:rsidRPr="00AF0775">
        <w:lastRenderedPageBreak/>
        <w:t xml:space="preserve">Indiquer ci-après les </w:t>
      </w:r>
      <w:r w:rsidR="00D80537" w:rsidRPr="00AF0775">
        <w:t xml:space="preserve">différentes </w:t>
      </w:r>
      <w:r w:rsidRPr="00AF0775">
        <w:t xml:space="preserve">catégories de bénéficiaires </w:t>
      </w:r>
    </w:p>
    <w:tbl>
      <w:tblPr>
        <w:tblStyle w:val="Grilledutableau"/>
        <w:tblW w:w="9284" w:type="dxa"/>
        <w:tblInd w:w="38" w:type="dxa"/>
        <w:tblLayout w:type="fixed"/>
        <w:tblLook w:val="04A0" w:firstRow="1" w:lastRow="0" w:firstColumn="1" w:lastColumn="0" w:noHBand="0" w:noVBand="1"/>
      </w:tblPr>
      <w:tblGrid>
        <w:gridCol w:w="7725"/>
        <w:gridCol w:w="1559"/>
      </w:tblGrid>
      <w:tr w:rsidR="00325FA1" w:rsidRPr="00AF0775" w14:paraId="4D5C821C" w14:textId="77777777" w:rsidTr="00F96502">
        <w:trPr>
          <w:cantSplit/>
        </w:trPr>
        <w:tc>
          <w:tcPr>
            <w:tcW w:w="7725" w:type="dxa"/>
            <w:tcBorders>
              <w:right w:val="single" w:sz="12" w:space="0" w:color="E09926" w:themeColor="accent2"/>
            </w:tcBorders>
            <w:vAlign w:val="center"/>
          </w:tcPr>
          <w:p w14:paraId="33FB346B" w14:textId="600AE2FC" w:rsidR="00325FA1" w:rsidRPr="00AF0775" w:rsidRDefault="00325FA1" w:rsidP="00325FA1">
            <w:pPr>
              <w:keepLines/>
              <w:tabs>
                <w:tab w:val="left" w:pos="851"/>
              </w:tabs>
              <w:spacing w:before="80" w:after="80"/>
              <w:rPr>
                <w:sz w:val="22"/>
                <w:szCs w:val="22"/>
              </w:rPr>
            </w:pPr>
            <w:r w:rsidRPr="00AF0775">
              <w:rPr>
                <w:sz w:val="22"/>
                <w:szCs w:val="22"/>
              </w:rPr>
              <w:t>Nombre de Sénateurs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16B64D" w14:textId="0E6E0735" w:rsidR="00325FA1" w:rsidRPr="00AF0775" w:rsidRDefault="003C23CD" w:rsidP="00325FA1">
            <w:pPr>
              <w:keepLines/>
              <w:spacing w:before="80" w:after="80"/>
              <w:ind w:left="-106"/>
              <w:jc w:val="center"/>
              <w:rPr>
                <w:sz w:val="22"/>
                <w:szCs w:val="22"/>
              </w:rPr>
            </w:pPr>
            <w:r>
              <w:rPr>
                <w:sz w:val="22"/>
                <w:szCs w:val="22"/>
              </w:rPr>
              <w:t>348</w:t>
            </w:r>
          </w:p>
        </w:tc>
      </w:tr>
      <w:tr w:rsidR="00325FA1" w:rsidRPr="00AF0775" w14:paraId="6A07858C" w14:textId="77777777" w:rsidTr="00F96502">
        <w:trPr>
          <w:cantSplit/>
        </w:trPr>
        <w:tc>
          <w:tcPr>
            <w:tcW w:w="7725" w:type="dxa"/>
            <w:tcBorders>
              <w:right w:val="single" w:sz="12" w:space="0" w:color="E09926" w:themeColor="accent2"/>
            </w:tcBorders>
            <w:vAlign w:val="center"/>
          </w:tcPr>
          <w:p w14:paraId="70F859B7" w14:textId="72217C7F" w:rsidR="00325FA1" w:rsidRPr="00AF0775" w:rsidRDefault="00325FA1" w:rsidP="00325FA1">
            <w:pPr>
              <w:keepLines/>
              <w:tabs>
                <w:tab w:val="left" w:pos="851"/>
              </w:tabs>
              <w:spacing w:before="80" w:after="80"/>
              <w:rPr>
                <w:sz w:val="22"/>
                <w:szCs w:val="22"/>
              </w:rPr>
            </w:pPr>
            <w:r w:rsidRPr="00AF0775">
              <w:rPr>
                <w:sz w:val="22"/>
                <w:szCs w:val="22"/>
              </w:rPr>
              <w:t>Nombre de salariés/fonctionnaires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96B0C1" w14:textId="24812DE8" w:rsidR="00325FA1" w:rsidRPr="00AF0775" w:rsidRDefault="00DB1993" w:rsidP="00325FA1">
            <w:pPr>
              <w:keepLines/>
              <w:spacing w:before="80" w:after="80"/>
              <w:ind w:left="-106"/>
              <w:jc w:val="center"/>
              <w:rPr>
                <w:sz w:val="22"/>
                <w:szCs w:val="22"/>
              </w:rPr>
            </w:pPr>
            <w:r>
              <w:rPr>
                <w:sz w:val="22"/>
                <w:szCs w:val="22"/>
              </w:rPr>
              <w:t>1079 fonctionnaires et 111 contractuels</w:t>
            </w:r>
          </w:p>
        </w:tc>
      </w:tr>
      <w:tr w:rsidR="00325FA1" w:rsidRPr="00AF0775" w14:paraId="07767EAE" w14:textId="77777777" w:rsidTr="00F96502">
        <w:trPr>
          <w:cantSplit/>
        </w:trPr>
        <w:tc>
          <w:tcPr>
            <w:tcW w:w="7725" w:type="dxa"/>
            <w:tcBorders>
              <w:right w:val="single" w:sz="12" w:space="0" w:color="E09926" w:themeColor="accent2"/>
            </w:tcBorders>
            <w:vAlign w:val="center"/>
          </w:tcPr>
          <w:p w14:paraId="3D9B36DC" w14:textId="459CF660" w:rsidR="00325FA1" w:rsidRPr="00AF0775" w:rsidRDefault="00325FA1" w:rsidP="00325FA1">
            <w:pPr>
              <w:keepLines/>
              <w:tabs>
                <w:tab w:val="left" w:pos="851"/>
              </w:tabs>
              <w:spacing w:before="80" w:after="80"/>
              <w:rPr>
                <w:sz w:val="22"/>
                <w:szCs w:val="22"/>
              </w:rPr>
            </w:pPr>
            <w:r w:rsidRPr="00AF0775">
              <w:rPr>
                <w:sz w:val="22"/>
                <w:szCs w:val="22"/>
              </w:rPr>
              <w:t>Nombre de stagiaires et/ou apprentis et/ou auditeurs français et étrangers accueillis en France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946F17" w14:textId="459AE5A6" w:rsidR="00DB1993" w:rsidRPr="00AF0775" w:rsidRDefault="00DB1993" w:rsidP="00DB1993">
            <w:pPr>
              <w:keepLines/>
              <w:spacing w:before="80" w:after="80"/>
              <w:ind w:left="-106"/>
              <w:jc w:val="center"/>
              <w:rPr>
                <w:sz w:val="22"/>
                <w:szCs w:val="22"/>
              </w:rPr>
            </w:pPr>
            <w:r>
              <w:rPr>
                <w:sz w:val="22"/>
                <w:szCs w:val="22"/>
              </w:rPr>
              <w:t>14 stagiaires et 29 apprentis français</w:t>
            </w:r>
          </w:p>
        </w:tc>
      </w:tr>
      <w:tr w:rsidR="00325FA1" w:rsidRPr="00AF0775" w14:paraId="1EB36F94" w14:textId="77777777" w:rsidTr="00F96502">
        <w:trPr>
          <w:cantSplit/>
        </w:trPr>
        <w:tc>
          <w:tcPr>
            <w:tcW w:w="7725" w:type="dxa"/>
            <w:tcBorders>
              <w:right w:val="single" w:sz="12" w:space="0" w:color="E09926" w:themeColor="accent2"/>
            </w:tcBorders>
            <w:vAlign w:val="center"/>
          </w:tcPr>
          <w:p w14:paraId="67E68AF6" w14:textId="537120C5" w:rsidR="00325FA1" w:rsidRPr="00AF0775" w:rsidRDefault="00325FA1" w:rsidP="00325FA1">
            <w:pPr>
              <w:keepLines/>
              <w:tabs>
                <w:tab w:val="left" w:pos="851"/>
              </w:tabs>
              <w:spacing w:before="80" w:after="80"/>
              <w:rPr>
                <w:sz w:val="22"/>
                <w:szCs w:val="22"/>
              </w:rPr>
            </w:pPr>
            <w:r w:rsidRPr="00AF0775">
              <w:rPr>
                <w:sz w:val="22"/>
                <w:szCs w:val="22"/>
              </w:rPr>
              <w:t>Nombre de personnes physiques participant à des délégations parlementaires étrangères en visite en France y compris leurs accompagnants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6DF096" w14:textId="1FD8A8D1" w:rsidR="00325FA1" w:rsidRPr="00AF0775" w:rsidRDefault="00B54FD8" w:rsidP="00325FA1">
            <w:pPr>
              <w:keepLines/>
              <w:spacing w:before="80" w:after="80"/>
              <w:ind w:left="-106"/>
              <w:jc w:val="center"/>
              <w:rPr>
                <w:sz w:val="22"/>
                <w:szCs w:val="22"/>
              </w:rPr>
            </w:pPr>
            <w:r>
              <w:rPr>
                <w:sz w:val="22"/>
                <w:szCs w:val="22"/>
              </w:rPr>
              <w:t>En attente</w:t>
            </w:r>
          </w:p>
        </w:tc>
      </w:tr>
      <w:tr w:rsidR="00325FA1" w:rsidRPr="00AF0775" w14:paraId="5E319BE2" w14:textId="77777777" w:rsidTr="00F96502">
        <w:trPr>
          <w:cantSplit/>
        </w:trPr>
        <w:tc>
          <w:tcPr>
            <w:tcW w:w="7725" w:type="dxa"/>
            <w:tcBorders>
              <w:right w:val="single" w:sz="12" w:space="0" w:color="E09926" w:themeColor="accent2"/>
            </w:tcBorders>
            <w:vAlign w:val="center"/>
          </w:tcPr>
          <w:p w14:paraId="027EB464" w14:textId="38C10175" w:rsidR="00325FA1" w:rsidRPr="00AF0775" w:rsidRDefault="00325FA1" w:rsidP="00325FA1">
            <w:pPr>
              <w:keepLines/>
              <w:tabs>
                <w:tab w:val="left" w:pos="851"/>
              </w:tabs>
              <w:spacing w:before="80" w:after="80"/>
            </w:pPr>
            <w:r w:rsidRPr="00AF0775">
              <w:rPr>
                <w:sz w:val="22"/>
                <w:szCs w:val="22"/>
              </w:rPr>
              <w:t>Autres bénéficiaires : Préciser</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DB1E98" w14:textId="6F54CCB8" w:rsidR="00325FA1" w:rsidRPr="00AF0775" w:rsidRDefault="00B54FD8" w:rsidP="00325FA1">
            <w:pPr>
              <w:keepLines/>
              <w:spacing w:before="80" w:after="80"/>
              <w:ind w:left="-106"/>
              <w:jc w:val="center"/>
            </w:pPr>
            <w:r>
              <w:rPr>
                <w:sz w:val="22"/>
                <w:szCs w:val="22"/>
              </w:rPr>
              <w:t>E</w:t>
            </w:r>
            <w:r w:rsidRPr="00B54FD8">
              <w:rPr>
                <w:sz w:val="22"/>
                <w:szCs w:val="22"/>
              </w:rPr>
              <w:t>xceptionnellement interprètes, spécialistes</w:t>
            </w:r>
          </w:p>
        </w:tc>
      </w:tr>
    </w:tbl>
    <w:p w14:paraId="471E279A" w14:textId="14D59E7D" w:rsidR="00921E08" w:rsidRDefault="00FA3940" w:rsidP="002C06C3">
      <w:pPr>
        <w:keepNext/>
        <w:keepLines/>
        <w:widowControl/>
        <w:spacing w:before="240" w:after="120"/>
        <w:jc w:val="left"/>
      </w:pPr>
      <w:r w:rsidRPr="00AF0775">
        <w:t>Indiquer ci-après le nombre total annuel</w:t>
      </w:r>
      <w:r w:rsidRPr="00FA3940">
        <w:t xml:space="preserve"> de</w:t>
      </w:r>
      <w:r w:rsidR="00261239">
        <w:t xml:space="preserve"> jours de</w:t>
      </w:r>
      <w:r w:rsidRPr="00FA3940">
        <w:t xml:space="preserve"> déplacements</w:t>
      </w:r>
      <w:r w:rsidR="00261239">
        <w:t>.</w:t>
      </w:r>
    </w:p>
    <w:tbl>
      <w:tblPr>
        <w:tblStyle w:val="Tableausimple4"/>
        <w:tblW w:w="9322" w:type="dxa"/>
        <w:tblLayout w:type="fixed"/>
        <w:tblLook w:val="04A0" w:firstRow="1" w:lastRow="0" w:firstColumn="1" w:lastColumn="0" w:noHBand="0" w:noVBand="1"/>
      </w:tblPr>
      <w:tblGrid>
        <w:gridCol w:w="3107"/>
        <w:gridCol w:w="3107"/>
        <w:gridCol w:w="3108"/>
      </w:tblGrid>
      <w:tr w:rsidR="00FA3940" w14:paraId="385228F0"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2BBB681B" w14:textId="0DCF4620" w:rsidR="00FA3940" w:rsidRPr="00FA3940" w:rsidRDefault="00FA3940" w:rsidP="002C06C3">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4F95A22F" w14:textId="04718BD1" w:rsidR="00FA3940" w:rsidRPr="00FA3940" w:rsidRDefault="00FA3940"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3A7BBEC4" w14:textId="3D6C4495" w:rsidR="00FA3940" w:rsidRPr="00FA3940" w:rsidRDefault="00FA3940"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FA3940" w14:paraId="7E5F05E5"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2F960D2" w14:textId="08B3587D" w:rsidR="00FA3940" w:rsidRPr="001A261B" w:rsidRDefault="00775E48" w:rsidP="00FA3940">
            <w:pPr>
              <w:keepLines/>
              <w:widowControl/>
              <w:spacing w:before="80" w:after="80"/>
              <w:jc w:val="center"/>
              <w:rPr>
                <w:b w:val="0"/>
                <w:bCs w:val="0"/>
              </w:rPr>
            </w:pPr>
            <w:r>
              <w:rPr>
                <w:b w:val="0"/>
                <w:bCs w:val="0"/>
              </w:rPr>
              <w:t>851</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0425C3" w14:textId="38912AA6" w:rsidR="00FA3940" w:rsidRPr="001A261B" w:rsidRDefault="00775E48"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644</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E29A2FF" w14:textId="1C841149" w:rsidR="00FA3940" w:rsidRPr="001A261B" w:rsidRDefault="00775E48"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812</w:t>
            </w:r>
          </w:p>
        </w:tc>
      </w:tr>
    </w:tbl>
    <w:p w14:paraId="6DB9A5F9" w14:textId="3FA000BD" w:rsidR="00387A6E" w:rsidRDefault="00387A6E" w:rsidP="00FA3940">
      <w:pPr>
        <w:keepLines/>
        <w:widowControl/>
        <w:spacing w:before="240" w:after="120"/>
        <w:jc w:val="left"/>
        <w:rPr>
          <w:bdr w:val="single" w:sz="12" w:space="0" w:color="E09926" w:themeColor="accent2"/>
        </w:rPr>
      </w:pPr>
      <w:r w:rsidRPr="00D64785">
        <w:t>Durée moyenne des déplacements</w:t>
      </w:r>
      <w:r w:rsidR="00AD4FB3">
        <w:t xml:space="preserve"> </w:t>
      </w:r>
      <w:r w:rsidRPr="00D64785">
        <w:t>:</w:t>
      </w:r>
      <w:r w:rsidR="001A261B" w:rsidRPr="00D64785">
        <w:t xml:space="preserve"> </w:t>
      </w:r>
    </w:p>
    <w:p w14:paraId="36F34528" w14:textId="0C9F068E" w:rsidR="00D64785" w:rsidRPr="00274537" w:rsidRDefault="00D54971" w:rsidP="00D6478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3</w:t>
      </w:r>
      <w:r w:rsidR="00D64785">
        <w:t xml:space="preserve"> jours</w:t>
      </w:r>
      <w:r>
        <w:t xml:space="preserve"> (estimatif)</w:t>
      </w:r>
    </w:p>
    <w:p w14:paraId="4D766D5B" w14:textId="4ACD5F10" w:rsidR="00261239" w:rsidRDefault="00261239" w:rsidP="00261239">
      <w:pPr>
        <w:keepNext/>
        <w:keepLines/>
        <w:widowControl/>
        <w:spacing w:before="240" w:after="120"/>
        <w:jc w:val="left"/>
      </w:pPr>
      <w:r w:rsidRPr="00FA3940">
        <w:t xml:space="preserve">Indiquer </w:t>
      </w:r>
      <w:r>
        <w:t xml:space="preserve">ci-après </w:t>
      </w:r>
      <w:r w:rsidRPr="00FA3940">
        <w:t>le nombre total annuel de</w:t>
      </w:r>
      <w:r>
        <w:t xml:space="preserve"> jours de</w:t>
      </w:r>
      <w:r w:rsidRPr="00FA3940">
        <w:t xml:space="preserve"> déplacements</w:t>
      </w:r>
      <w:r>
        <w:t xml:space="preserve"> en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261239" w:rsidRPr="00FA3940" w14:paraId="35B3149C"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A545C5B" w14:textId="33718988" w:rsidR="00261239" w:rsidRPr="00FA3940" w:rsidRDefault="00261239" w:rsidP="00261239">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167D7AA" w14:textId="74EACF51" w:rsidR="00261239" w:rsidRPr="00387A6E" w:rsidRDefault="00261239"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67C96EF8" w14:textId="427AE058" w:rsidR="00261239" w:rsidRPr="00FA3940" w:rsidRDefault="00261239"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261239" w14:paraId="4F0D032E"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22A6975" w14:textId="5CF68831" w:rsidR="00261239" w:rsidRDefault="00261239" w:rsidP="00261239">
            <w:pPr>
              <w:keepLines/>
              <w:widowControl/>
              <w:spacing w:before="80" w:after="80"/>
              <w:jc w:val="center"/>
            </w:pP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1C7D9B" w14:textId="2A326A4D" w:rsidR="00261239" w:rsidRDefault="00261239"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00B5D75" w14:textId="46BBB598" w:rsidR="00261239" w:rsidRDefault="00261239"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p>
        </w:tc>
      </w:tr>
    </w:tbl>
    <w:p w14:paraId="64B846A5" w14:textId="09286EAC" w:rsidR="00261239" w:rsidRDefault="00261239" w:rsidP="00261239">
      <w:pPr>
        <w:keepNext/>
        <w:keepLines/>
        <w:widowControl/>
        <w:spacing w:before="240" w:after="120"/>
      </w:pPr>
      <w:r w:rsidRPr="00FA3940">
        <w:t xml:space="preserve">Indiquer </w:t>
      </w:r>
      <w:r>
        <w:t xml:space="preserve">ci-après </w:t>
      </w:r>
      <w:r w:rsidRPr="00FA3940">
        <w:t>le nombre total annuel de</w:t>
      </w:r>
      <w:r>
        <w:t xml:space="preserve"> jours de</w:t>
      </w:r>
      <w:r w:rsidRPr="00FA3940">
        <w:t xml:space="preserve"> déplacements</w:t>
      </w:r>
      <w:r>
        <w:t xml:space="preserve"> hors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261239" w:rsidRPr="00FA3940" w14:paraId="7B202353"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C7B0D2C" w14:textId="77777777" w:rsidR="00261239" w:rsidRPr="00FA3940" w:rsidRDefault="00261239" w:rsidP="00007FDB">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7B513AB" w14:textId="77777777" w:rsidR="00261239" w:rsidRPr="00387A6E" w:rsidRDefault="00261239"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28C07A4A" w14:textId="77777777" w:rsidR="00261239" w:rsidRPr="00FA3940" w:rsidRDefault="00261239"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261239" w14:paraId="41292104"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81B12" w14:textId="52ECAA86" w:rsidR="00261239" w:rsidRDefault="00261239" w:rsidP="00007FDB">
            <w:pPr>
              <w:keepLines/>
              <w:widowControl/>
              <w:spacing w:before="80" w:after="80"/>
              <w:jc w:val="center"/>
            </w:pP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B333504" w14:textId="45E3E59E" w:rsidR="00261239" w:rsidRDefault="00261239"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685AC20" w14:textId="59C06B5E" w:rsidR="00261239" w:rsidRDefault="00261239"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p>
        </w:tc>
      </w:tr>
    </w:tbl>
    <w:p w14:paraId="1F2F4FED" w14:textId="235A9771" w:rsidR="00C95786" w:rsidRPr="00C95786" w:rsidRDefault="00C95786" w:rsidP="002C06C3">
      <w:pPr>
        <w:keepNext/>
        <w:keepLines/>
        <w:widowControl/>
        <w:spacing w:before="240" w:after="120"/>
      </w:pPr>
      <w:r>
        <w:t>Indiquer ci-après ou j</w:t>
      </w:r>
      <w:r w:rsidRPr="00C95786">
        <w:t>oindre en annexe la liste des déplacements organisés par l</w:t>
      </w:r>
      <w:r>
        <w:t xml:space="preserve">e </w:t>
      </w:r>
      <w:r w:rsidRPr="00C95786">
        <w:t>souscript</w:t>
      </w:r>
      <w:r>
        <w:t>eur</w:t>
      </w:r>
      <w:r w:rsidRPr="00C95786">
        <w:t xml:space="preserve"> au cours de</w:t>
      </w:r>
      <w:r>
        <w:t>s</w:t>
      </w:r>
      <w:r w:rsidRPr="00C95786">
        <w:t xml:space="preserve"> 3 dernières années en précisant, si possible, pour chacun des déplacements</w:t>
      </w:r>
      <w:r w:rsidR="00D80537">
        <w:t>,</w:t>
      </w:r>
      <w:r>
        <w:t xml:space="preserve"> l</w:t>
      </w:r>
      <w:r w:rsidRPr="00C95786">
        <w:t>a destination, la durée, le nombre de bénéficiaires, la nature (déplacement professionnel ou touristique), la provenance si autre que France.</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C95786" w14:paraId="7CD2A134" w14:textId="77777777" w:rsidTr="00F17228">
        <w:tc>
          <w:tcPr>
            <w:tcW w:w="9284" w:type="dxa"/>
          </w:tcPr>
          <w:p w14:paraId="39F811E0" w14:textId="77777777" w:rsidR="00C95786" w:rsidRDefault="00C95786" w:rsidP="001B1045">
            <w:pPr>
              <w:keepLines/>
              <w:widowControl/>
              <w:spacing w:before="80" w:after="80"/>
              <w:jc w:val="left"/>
            </w:pPr>
          </w:p>
        </w:tc>
      </w:tr>
    </w:tbl>
    <w:p w14:paraId="639BE2F3" w14:textId="106E83A0" w:rsidR="00387A6E" w:rsidRPr="00307C37" w:rsidRDefault="00775E48" w:rsidP="00307C37">
      <w:pPr>
        <w:keepLines/>
        <w:widowControl/>
        <w:spacing w:before="240" w:after="120"/>
        <w:rPr>
          <w:i/>
          <w:iCs/>
        </w:rPr>
      </w:pPr>
      <w:r w:rsidRPr="00307C37">
        <w:rPr>
          <w:i/>
          <w:iCs/>
        </w:rPr>
        <w:t>Tableaux récapitulatifs par année des déplacements organisés (avions et trains)</w:t>
      </w:r>
      <w:r w:rsidR="006A2471" w:rsidRPr="00307C37">
        <w:rPr>
          <w:i/>
          <w:iCs/>
        </w:rPr>
        <w:t>, ainsi que de l’ensemble des billets d’avion émis.</w:t>
      </w:r>
    </w:p>
    <w:sectPr w:rsidR="00387A6E" w:rsidRPr="00307C37"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DA5F4" w14:textId="77777777" w:rsidR="00BB5207" w:rsidRDefault="00BB5207" w:rsidP="006603F5">
      <w:r>
        <w:separator/>
      </w:r>
    </w:p>
  </w:endnote>
  <w:endnote w:type="continuationSeparator" w:id="0">
    <w:p w14:paraId="0CC04F4D" w14:textId="77777777" w:rsidR="00BB5207" w:rsidRDefault="00BB5207"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1586" w14:textId="5E0233CE" w:rsidR="007025D1" w:rsidRPr="00C64CAB" w:rsidRDefault="007025D1" w:rsidP="00C64CAB">
    <w:pPr>
      <w:pStyle w:val="Pieddepage"/>
      <w:jc w:val="center"/>
    </w:pPr>
    <w:r w:rsidRPr="00D85423">
      <w:rPr>
        <w:sz w:val="22"/>
        <w:szCs w:val="22"/>
      </w:rPr>
      <w:t xml:space="preserve">Assurance </w:t>
    </w:r>
    <w:r>
      <w:rPr>
        <w:sz w:val="22"/>
        <w:szCs w:val="22"/>
      </w:rPr>
      <w:t>« </w:t>
    </w:r>
    <w:r w:rsidR="00FA3940">
      <w:rPr>
        <w:sz w:val="22"/>
        <w:szCs w:val="22"/>
      </w:rPr>
      <w:t>assistance rapatriement</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307C37">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8DD9D" w14:textId="77777777" w:rsidR="00BB5207" w:rsidRDefault="00BB5207" w:rsidP="006603F5">
      <w:r>
        <w:separator/>
      </w:r>
    </w:p>
  </w:footnote>
  <w:footnote w:type="continuationSeparator" w:id="0">
    <w:p w14:paraId="1A8C73F7" w14:textId="77777777" w:rsidR="00BB5207" w:rsidRDefault="00BB5207"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6BC"/>
    <w:multiLevelType w:val="hybridMultilevel"/>
    <w:tmpl w:val="3DE61A50"/>
    <w:lvl w:ilvl="0" w:tplc="760890BE">
      <w:start w:val="25"/>
      <w:numFmt w:val="bullet"/>
      <w:lvlText w:val="-"/>
      <w:lvlJc w:val="left"/>
      <w:pPr>
        <w:ind w:left="315" w:hanging="360"/>
      </w:pPr>
      <w:rPr>
        <w:rFonts w:ascii="Arial" w:eastAsia="Times New Roman" w:hAnsi="Arial" w:cs="Arial" w:hint="default"/>
      </w:rPr>
    </w:lvl>
    <w:lvl w:ilvl="1" w:tplc="040C0003" w:tentative="1">
      <w:start w:val="1"/>
      <w:numFmt w:val="bullet"/>
      <w:lvlText w:val="o"/>
      <w:lvlJc w:val="left"/>
      <w:pPr>
        <w:ind w:left="1035" w:hanging="360"/>
      </w:pPr>
      <w:rPr>
        <w:rFonts w:ascii="Courier New" w:hAnsi="Courier New" w:cs="Courier New" w:hint="default"/>
      </w:rPr>
    </w:lvl>
    <w:lvl w:ilvl="2" w:tplc="040C0005" w:tentative="1">
      <w:start w:val="1"/>
      <w:numFmt w:val="bullet"/>
      <w:lvlText w:val=""/>
      <w:lvlJc w:val="left"/>
      <w:pPr>
        <w:ind w:left="1755" w:hanging="360"/>
      </w:pPr>
      <w:rPr>
        <w:rFonts w:ascii="Wingdings" w:hAnsi="Wingdings" w:hint="default"/>
      </w:rPr>
    </w:lvl>
    <w:lvl w:ilvl="3" w:tplc="040C0001" w:tentative="1">
      <w:start w:val="1"/>
      <w:numFmt w:val="bullet"/>
      <w:lvlText w:val=""/>
      <w:lvlJc w:val="left"/>
      <w:pPr>
        <w:ind w:left="2475" w:hanging="360"/>
      </w:pPr>
      <w:rPr>
        <w:rFonts w:ascii="Symbol" w:hAnsi="Symbol" w:hint="default"/>
      </w:rPr>
    </w:lvl>
    <w:lvl w:ilvl="4" w:tplc="040C0003" w:tentative="1">
      <w:start w:val="1"/>
      <w:numFmt w:val="bullet"/>
      <w:lvlText w:val="o"/>
      <w:lvlJc w:val="left"/>
      <w:pPr>
        <w:ind w:left="3195" w:hanging="360"/>
      </w:pPr>
      <w:rPr>
        <w:rFonts w:ascii="Courier New" w:hAnsi="Courier New" w:cs="Courier New" w:hint="default"/>
      </w:rPr>
    </w:lvl>
    <w:lvl w:ilvl="5" w:tplc="040C0005" w:tentative="1">
      <w:start w:val="1"/>
      <w:numFmt w:val="bullet"/>
      <w:lvlText w:val=""/>
      <w:lvlJc w:val="left"/>
      <w:pPr>
        <w:ind w:left="3915" w:hanging="360"/>
      </w:pPr>
      <w:rPr>
        <w:rFonts w:ascii="Wingdings" w:hAnsi="Wingdings" w:hint="default"/>
      </w:rPr>
    </w:lvl>
    <w:lvl w:ilvl="6" w:tplc="040C0001" w:tentative="1">
      <w:start w:val="1"/>
      <w:numFmt w:val="bullet"/>
      <w:lvlText w:val=""/>
      <w:lvlJc w:val="left"/>
      <w:pPr>
        <w:ind w:left="4635" w:hanging="360"/>
      </w:pPr>
      <w:rPr>
        <w:rFonts w:ascii="Symbol" w:hAnsi="Symbol" w:hint="default"/>
      </w:rPr>
    </w:lvl>
    <w:lvl w:ilvl="7" w:tplc="040C0003" w:tentative="1">
      <w:start w:val="1"/>
      <w:numFmt w:val="bullet"/>
      <w:lvlText w:val="o"/>
      <w:lvlJc w:val="left"/>
      <w:pPr>
        <w:ind w:left="5355" w:hanging="360"/>
      </w:pPr>
      <w:rPr>
        <w:rFonts w:ascii="Courier New" w:hAnsi="Courier New" w:cs="Courier New" w:hint="default"/>
      </w:rPr>
    </w:lvl>
    <w:lvl w:ilvl="8" w:tplc="040C0005"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7B58606C">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num>
  <w:num w:numId="9">
    <w:abstractNumId w:val="18"/>
  </w:num>
  <w:num w:numId="10">
    <w:abstractNumId w:val="19"/>
  </w:num>
  <w:num w:numId="11">
    <w:abstractNumId w:val="10"/>
  </w:num>
  <w:num w:numId="12">
    <w:abstractNumId w:val="7"/>
  </w:num>
  <w:num w:numId="13">
    <w:abstractNumId w:val="9"/>
  </w:num>
  <w:num w:numId="14">
    <w:abstractNumId w:val="17"/>
  </w:num>
  <w:num w:numId="15">
    <w:abstractNumId w:val="3"/>
  </w:num>
  <w:num w:numId="16">
    <w:abstractNumId w:val="14"/>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7FB"/>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D1A"/>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61B"/>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045"/>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1E7"/>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06F"/>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39"/>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6C3"/>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37"/>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5FA1"/>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87A6E"/>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3CD"/>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1E1"/>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B7C"/>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47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5E48"/>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0D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196"/>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BB8"/>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4F6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3EE"/>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4FB3"/>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7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4FD8"/>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207"/>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288"/>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786"/>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7B9"/>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971"/>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785"/>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537"/>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993"/>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7FD"/>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228"/>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94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3F1EBD"/>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3F1EB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 w:type="table" w:styleId="Tableausimple4">
    <w:name w:val="Plain Table 4"/>
    <w:basedOn w:val="TableauNormal"/>
    <w:uiPriority w:val="44"/>
    <w:rsid w:val="00FA39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9090C-7046-4A32-BD5B-AD36AAAB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592</Words>
  <Characters>3260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Jonathan HILD</cp:lastModifiedBy>
  <cp:revision>8</cp:revision>
  <dcterms:created xsi:type="dcterms:W3CDTF">2025-02-05T16:32:00Z</dcterms:created>
  <dcterms:modified xsi:type="dcterms:W3CDTF">2025-04-15T16:03:00Z</dcterms:modified>
</cp:coreProperties>
</file>